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3F21E15"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082DDF">
        <w:rPr>
          <w:rFonts w:ascii="Verdana" w:hAnsi="Verdana"/>
          <w:b/>
          <w:bCs/>
          <w:sz w:val="20"/>
          <w:szCs w:val="20"/>
        </w:rPr>
        <w:t>2</w:t>
      </w:r>
    </w:p>
    <w:p w14:paraId="6000F327" w14:textId="52E2D72F" w:rsidR="0006736C" w:rsidRDefault="005272FF" w:rsidP="00721D02">
      <w:pPr>
        <w:spacing w:after="0"/>
        <w:jc w:val="center"/>
        <w:rPr>
          <w:rFonts w:ascii="Verdana" w:hAnsi="Verdana"/>
          <w:b/>
          <w:bCs/>
          <w:sz w:val="20"/>
          <w:szCs w:val="20"/>
        </w:rPr>
      </w:pPr>
      <w:r w:rsidRPr="1948123F">
        <w:rPr>
          <w:rFonts w:ascii="Verdana" w:hAnsi="Verdana"/>
          <w:b/>
          <w:bCs/>
          <w:sz w:val="20"/>
          <w:szCs w:val="20"/>
        </w:rPr>
        <w:t>CONTROLES DE LEY Y ASUNTOS PRUDENCIALES</w:t>
      </w:r>
    </w:p>
    <w:p w14:paraId="1BF07C81" w14:textId="77777777" w:rsidR="00721D02" w:rsidRDefault="00721D02" w:rsidP="00721D02">
      <w:pPr>
        <w:spacing w:after="0"/>
        <w:jc w:val="center"/>
        <w:rPr>
          <w:rFonts w:ascii="Verdana" w:hAnsi="Verdana"/>
          <w:b/>
          <w:bCs/>
          <w:sz w:val="20"/>
          <w:szCs w:val="20"/>
        </w:rPr>
      </w:pPr>
    </w:p>
    <w:p w14:paraId="438B98D3" w14:textId="695DDB68"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262763">
        <w:rPr>
          <w:rFonts w:ascii="Verdana" w:hAnsi="Verdana"/>
          <w:b/>
          <w:bCs/>
          <w:sz w:val="20"/>
          <w:szCs w:val="20"/>
        </w:rPr>
        <w:t>8</w:t>
      </w:r>
    </w:p>
    <w:p w14:paraId="3F9900A3" w14:textId="4C91FF62" w:rsidR="00DA0C0E" w:rsidRDefault="00236EFB" w:rsidP="00721D02">
      <w:pPr>
        <w:spacing w:after="0"/>
        <w:jc w:val="center"/>
        <w:rPr>
          <w:rFonts w:ascii="Verdana" w:hAnsi="Verdana"/>
          <w:b/>
          <w:bCs/>
          <w:sz w:val="20"/>
          <w:szCs w:val="20"/>
        </w:rPr>
      </w:pPr>
      <w:r w:rsidRPr="1948123F">
        <w:rPr>
          <w:rFonts w:ascii="Verdana" w:hAnsi="Verdana"/>
          <w:b/>
          <w:bCs/>
          <w:sz w:val="20"/>
          <w:szCs w:val="20"/>
        </w:rPr>
        <w:t>CUMPLIMIENTO DE NORMAS DEL BANCO DE LA REPÚBLICA</w:t>
      </w:r>
    </w:p>
    <w:p w14:paraId="3AEDBD8A" w14:textId="77777777" w:rsidR="00721D02" w:rsidRDefault="00721D02" w:rsidP="00721D02">
      <w:pPr>
        <w:spacing w:after="0"/>
        <w:jc w:val="center"/>
        <w:rPr>
          <w:rFonts w:ascii="Verdana" w:hAnsi="Verdana"/>
          <w:b/>
          <w:bCs/>
          <w:sz w:val="20"/>
          <w:szCs w:val="20"/>
        </w:rPr>
      </w:pPr>
    </w:p>
    <w:p w14:paraId="5A25184E" w14:textId="2B876E63" w:rsidR="00DA0C0E" w:rsidRDefault="00DA0C0E" w:rsidP="00721D02">
      <w:pPr>
        <w:spacing w:after="0"/>
        <w:jc w:val="center"/>
        <w:rPr>
          <w:rFonts w:ascii="Verdana" w:hAnsi="Verdana"/>
          <w:b/>
          <w:bCs/>
          <w:sz w:val="20"/>
          <w:szCs w:val="20"/>
        </w:rPr>
      </w:pPr>
      <w:r>
        <w:rPr>
          <w:rFonts w:ascii="Verdana" w:hAnsi="Verdana"/>
          <w:b/>
          <w:bCs/>
          <w:sz w:val="20"/>
          <w:szCs w:val="20"/>
        </w:rPr>
        <w:t xml:space="preserve">SECCIÓN </w:t>
      </w:r>
      <w:r w:rsidR="00470929">
        <w:rPr>
          <w:rFonts w:ascii="Verdana" w:hAnsi="Verdana"/>
          <w:b/>
          <w:bCs/>
          <w:sz w:val="20"/>
          <w:szCs w:val="20"/>
        </w:rPr>
        <w:t>1</w:t>
      </w:r>
    </w:p>
    <w:p w14:paraId="5C223E21" w14:textId="4729AD00" w:rsidR="00DA0C0E" w:rsidRPr="005007D3" w:rsidRDefault="00445D5C" w:rsidP="00721D02">
      <w:pPr>
        <w:spacing w:after="0"/>
        <w:jc w:val="center"/>
        <w:rPr>
          <w:rFonts w:ascii="Verdana" w:hAnsi="Verdana"/>
          <w:b/>
          <w:bCs/>
          <w:sz w:val="20"/>
          <w:szCs w:val="20"/>
          <w:u w:val="single"/>
        </w:rPr>
      </w:pPr>
      <w:r w:rsidRPr="00445D5C">
        <w:rPr>
          <w:rFonts w:ascii="Verdana" w:hAnsi="Verdana"/>
          <w:b/>
          <w:bCs/>
          <w:sz w:val="20"/>
          <w:szCs w:val="20"/>
        </w:rPr>
        <w:t>ENCAJE</w:t>
      </w:r>
    </w:p>
    <w:p w14:paraId="34FD7863" w14:textId="77777777" w:rsidR="009D6127" w:rsidRDefault="009D6127" w:rsidP="009D6127">
      <w:pPr>
        <w:rPr>
          <w:rFonts w:ascii="Verdana" w:hAnsi="Verdana"/>
          <w:b/>
          <w:bCs/>
          <w:sz w:val="20"/>
          <w:szCs w:val="20"/>
        </w:rPr>
      </w:pPr>
    </w:p>
    <w:p w14:paraId="67F45CA9" w14:textId="3025F507" w:rsidR="003E240C" w:rsidRPr="00BF0C57" w:rsidRDefault="008B279B" w:rsidP="003E240C">
      <w:pPr>
        <w:spacing w:after="0"/>
        <w:rPr>
          <w:rFonts w:ascii="Verdana" w:hAnsi="Verdana"/>
          <w:sz w:val="20"/>
          <w:szCs w:val="20"/>
        </w:rPr>
      </w:pPr>
      <w:r>
        <w:rPr>
          <w:rFonts w:ascii="Verdana" w:hAnsi="Verdana"/>
          <w:sz w:val="20"/>
          <w:szCs w:val="20"/>
        </w:rPr>
        <w:t>2</w:t>
      </w:r>
      <w:r w:rsidR="003E240C" w:rsidRPr="00BF0C57">
        <w:rPr>
          <w:rFonts w:ascii="Verdana" w:hAnsi="Verdana"/>
          <w:sz w:val="20"/>
          <w:szCs w:val="20"/>
        </w:rPr>
        <w:t>.</w:t>
      </w:r>
      <w:r>
        <w:rPr>
          <w:rFonts w:ascii="Verdana" w:hAnsi="Verdana"/>
          <w:sz w:val="20"/>
          <w:szCs w:val="20"/>
        </w:rPr>
        <w:t>8</w:t>
      </w:r>
      <w:r w:rsidR="003E240C" w:rsidRPr="00BF0C57">
        <w:rPr>
          <w:rFonts w:ascii="Verdana" w:hAnsi="Verdana"/>
          <w:sz w:val="20"/>
          <w:szCs w:val="20"/>
        </w:rPr>
        <w:t>.1.</w:t>
      </w:r>
      <w:r w:rsidR="0060728B">
        <w:rPr>
          <w:rFonts w:ascii="Verdana" w:hAnsi="Verdana"/>
          <w:sz w:val="20"/>
          <w:szCs w:val="20"/>
        </w:rPr>
        <w:t>1</w:t>
      </w:r>
    </w:p>
    <w:p w14:paraId="1606E90E" w14:textId="294E399E" w:rsidR="00CC3A83" w:rsidRPr="00CC3A83" w:rsidRDefault="00CC3A83" w:rsidP="00CC3A83">
      <w:pPr>
        <w:spacing w:after="0"/>
        <w:jc w:val="both"/>
        <w:rPr>
          <w:rFonts w:ascii="Verdana" w:hAnsi="Verdana"/>
          <w:sz w:val="20"/>
          <w:szCs w:val="20"/>
        </w:rPr>
      </w:pPr>
      <w:r w:rsidRPr="00CC3A83">
        <w:rPr>
          <w:rFonts w:ascii="Verdana" w:hAnsi="Verdana"/>
          <w:sz w:val="20"/>
          <w:szCs w:val="20"/>
        </w:rPr>
        <w:t xml:space="preserve">El encaje que deben mantener los </w:t>
      </w:r>
      <w:r w:rsidR="00695553">
        <w:rPr>
          <w:rFonts w:ascii="Verdana" w:hAnsi="Verdana"/>
          <w:sz w:val="20"/>
          <w:szCs w:val="20"/>
        </w:rPr>
        <w:t>e</w:t>
      </w:r>
      <w:r w:rsidRPr="00CC3A83">
        <w:rPr>
          <w:rFonts w:ascii="Verdana" w:hAnsi="Verdana"/>
          <w:sz w:val="20"/>
          <w:szCs w:val="20"/>
        </w:rPr>
        <w:t xml:space="preserve">stablecimientos de </w:t>
      </w:r>
      <w:r w:rsidR="00695553">
        <w:rPr>
          <w:rFonts w:ascii="Verdana" w:hAnsi="Verdana"/>
          <w:sz w:val="20"/>
          <w:szCs w:val="20"/>
        </w:rPr>
        <w:t>c</w:t>
      </w:r>
      <w:r w:rsidRPr="00CC3A83">
        <w:rPr>
          <w:rFonts w:ascii="Verdana" w:hAnsi="Verdana"/>
          <w:sz w:val="20"/>
          <w:szCs w:val="20"/>
        </w:rPr>
        <w:t xml:space="preserve">rédito se rige por lo consagrado en la Resolución Externa 5 de 2008 del Banco de la República, la Circular Reglamentaria Externa DEFI - 353 de 2020, así como las normas que las modifiquen, adicionen o complementen. </w:t>
      </w:r>
    </w:p>
    <w:p w14:paraId="22276E6B" w14:textId="77777777" w:rsidR="00CC3A83" w:rsidRDefault="00CC3A83" w:rsidP="00CC3A83">
      <w:pPr>
        <w:spacing w:after="0"/>
        <w:jc w:val="both"/>
        <w:rPr>
          <w:rFonts w:ascii="Verdana" w:hAnsi="Verdana"/>
          <w:sz w:val="20"/>
          <w:szCs w:val="20"/>
        </w:rPr>
      </w:pPr>
    </w:p>
    <w:p w14:paraId="725B29A5" w14:textId="3E7A49F9" w:rsidR="00145683" w:rsidRPr="00BF0C57" w:rsidRDefault="00145683" w:rsidP="00145683">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.1.</w:t>
      </w:r>
      <w:r>
        <w:rPr>
          <w:rFonts w:ascii="Verdana" w:hAnsi="Verdana"/>
          <w:sz w:val="20"/>
          <w:szCs w:val="20"/>
        </w:rPr>
        <w:t>2</w:t>
      </w:r>
    </w:p>
    <w:p w14:paraId="5DC3B86A" w14:textId="77777777" w:rsidR="00CC3A83" w:rsidRPr="00CC3A83" w:rsidRDefault="00CC3A83" w:rsidP="24302DAE">
      <w:pPr>
        <w:spacing w:after="0"/>
        <w:jc w:val="both"/>
        <w:rPr>
          <w:rFonts w:ascii="Verdana" w:hAnsi="Verdana"/>
          <w:sz w:val="20"/>
          <w:szCs w:val="20"/>
        </w:rPr>
      </w:pPr>
      <w:r w:rsidRPr="24302DAE">
        <w:rPr>
          <w:rFonts w:ascii="Verdana" w:hAnsi="Verdana"/>
          <w:sz w:val="20"/>
          <w:szCs w:val="20"/>
        </w:rPr>
        <w:t xml:space="preserve">El cálculo del encaje ordinario debe realizarse de forma diaria de acuerdo con la metodología definida en la Resolución Externa 5 del 20 de junio de 2008 del Banco de la República, para efectos de lo cual no se puede realizar la compensación entre una y otra exigibilidad. </w:t>
      </w:r>
    </w:p>
    <w:p w14:paraId="3886A787" w14:textId="77777777" w:rsidR="00CC3A83" w:rsidRPr="00CC3A83" w:rsidRDefault="00CC3A83" w:rsidP="00CC3A83">
      <w:pPr>
        <w:spacing w:after="0"/>
        <w:jc w:val="both"/>
        <w:rPr>
          <w:rFonts w:ascii="Verdana" w:hAnsi="Verdana"/>
          <w:sz w:val="20"/>
          <w:szCs w:val="20"/>
        </w:rPr>
      </w:pPr>
    </w:p>
    <w:p w14:paraId="23B5982F" w14:textId="1253D419" w:rsidR="00695553" w:rsidRPr="00695553" w:rsidRDefault="00695553" w:rsidP="000442C3">
      <w:pPr>
        <w:spacing w:after="0"/>
        <w:rPr>
          <w:rFonts w:ascii="Verdana" w:hAnsi="Verdana"/>
          <w:b/>
          <w:bCs/>
          <w:sz w:val="20"/>
          <w:szCs w:val="20"/>
        </w:rPr>
      </w:pPr>
      <w:r w:rsidRPr="00695553">
        <w:rPr>
          <w:rFonts w:ascii="Verdana" w:hAnsi="Verdana"/>
          <w:b/>
          <w:bCs/>
          <w:sz w:val="20"/>
          <w:szCs w:val="20"/>
        </w:rPr>
        <w:t>SANCIONES</w:t>
      </w:r>
    </w:p>
    <w:p w14:paraId="6642235F" w14:textId="77777777" w:rsidR="00695553" w:rsidRDefault="00695553" w:rsidP="000442C3">
      <w:pPr>
        <w:spacing w:after="0"/>
        <w:rPr>
          <w:rFonts w:ascii="Verdana" w:hAnsi="Verdana"/>
          <w:sz w:val="20"/>
          <w:szCs w:val="20"/>
        </w:rPr>
      </w:pPr>
    </w:p>
    <w:p w14:paraId="0502053C" w14:textId="089C10EE" w:rsidR="000442C3" w:rsidRPr="00BF0C57" w:rsidRDefault="000442C3" w:rsidP="000442C3">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.1.</w:t>
      </w:r>
      <w:r>
        <w:rPr>
          <w:rFonts w:ascii="Verdana" w:hAnsi="Verdana"/>
          <w:sz w:val="20"/>
          <w:szCs w:val="20"/>
        </w:rPr>
        <w:t>3</w:t>
      </w:r>
    </w:p>
    <w:p w14:paraId="44D59FC3" w14:textId="552374B2" w:rsidR="00CC3A83" w:rsidRPr="00CC3A83" w:rsidRDefault="00CC3A83" w:rsidP="24302DAE">
      <w:pPr>
        <w:spacing w:after="0"/>
        <w:jc w:val="both"/>
        <w:rPr>
          <w:rFonts w:ascii="Verdana" w:hAnsi="Verdana"/>
          <w:sz w:val="20"/>
          <w:szCs w:val="20"/>
        </w:rPr>
      </w:pPr>
      <w:r w:rsidRPr="24302DAE">
        <w:rPr>
          <w:rFonts w:ascii="Verdana" w:hAnsi="Verdana"/>
          <w:sz w:val="20"/>
          <w:szCs w:val="20"/>
        </w:rPr>
        <w:t>De conformidad con lo dispuesto en el artículo 5 de la Resolución Externa No. 5 del 2008 del Banco de la República, por los defectos promedio diario de encaje en que incurriere un establecimiento de crédito en cualquier período del año, la Superintendencia Financiera de Colombia (SFC) aplicará una sanción pecuniaria en favor del Tesoro Nacional, equivalente al valor que resulte mayor entre: el 3,5% del valor de los defectos sobre el total de los días calendario del respectivo mes y 10 salarios mínimos legales mensuales vigentes.</w:t>
      </w:r>
    </w:p>
    <w:p w14:paraId="525EDD3F" w14:textId="77777777" w:rsidR="00CC3A83" w:rsidRDefault="00CC3A83" w:rsidP="00CC3A83">
      <w:pPr>
        <w:spacing w:after="0"/>
        <w:jc w:val="both"/>
        <w:rPr>
          <w:rFonts w:ascii="Verdana" w:hAnsi="Verdana"/>
          <w:sz w:val="20"/>
          <w:szCs w:val="20"/>
        </w:rPr>
      </w:pPr>
    </w:p>
    <w:p w14:paraId="26875775" w14:textId="545DDFCE" w:rsidR="00A24C05" w:rsidRPr="00BF0C57" w:rsidRDefault="00A24C05" w:rsidP="00A24C05">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.1.</w:t>
      </w:r>
      <w:r>
        <w:rPr>
          <w:rFonts w:ascii="Verdana" w:hAnsi="Verdana"/>
          <w:sz w:val="20"/>
          <w:szCs w:val="20"/>
        </w:rPr>
        <w:t>4</w:t>
      </w:r>
    </w:p>
    <w:p w14:paraId="1C5A98D3" w14:textId="77777777" w:rsidR="00CC3A83" w:rsidRPr="00CC3A83" w:rsidRDefault="00CC3A83" w:rsidP="00CC3A83">
      <w:pPr>
        <w:spacing w:after="0"/>
        <w:jc w:val="both"/>
        <w:rPr>
          <w:rFonts w:ascii="Verdana" w:hAnsi="Verdana"/>
          <w:sz w:val="20"/>
          <w:szCs w:val="20"/>
        </w:rPr>
      </w:pPr>
      <w:r w:rsidRPr="00CC3A83">
        <w:rPr>
          <w:rFonts w:ascii="Verdana" w:hAnsi="Verdana"/>
          <w:sz w:val="20"/>
          <w:szCs w:val="20"/>
        </w:rPr>
        <w:t>De conformidad con lo dispuesto en el artículo 6 de la citada Resolución Externa, las sanciones de que trata este numeral se aplicarán sin perjuicio de aquellas que pueda imponer la SFC conforme a sus competencias, en particular las previstas en el artículo 209 del Estatuto Orgánico del Sistema Financiero (EOSF).</w:t>
      </w:r>
    </w:p>
    <w:p w14:paraId="5AA58F72" w14:textId="77777777" w:rsidR="00CC3A83" w:rsidRDefault="00CC3A83" w:rsidP="00CC3A83">
      <w:pPr>
        <w:spacing w:after="0"/>
        <w:jc w:val="both"/>
        <w:rPr>
          <w:rFonts w:ascii="Verdana" w:hAnsi="Verdana"/>
          <w:sz w:val="20"/>
          <w:szCs w:val="20"/>
        </w:rPr>
      </w:pPr>
    </w:p>
    <w:p w14:paraId="3DBBF49E" w14:textId="4A4A2674" w:rsidR="004F2EED" w:rsidRPr="00BF0C57" w:rsidRDefault="004F2EED" w:rsidP="004F2EED">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.1.</w:t>
      </w:r>
      <w:r>
        <w:rPr>
          <w:rFonts w:ascii="Verdana" w:hAnsi="Verdana"/>
          <w:sz w:val="20"/>
          <w:szCs w:val="20"/>
        </w:rPr>
        <w:t>5</w:t>
      </w:r>
    </w:p>
    <w:p w14:paraId="1C7CFC7B" w14:textId="32D825C8" w:rsidR="00CC3A83" w:rsidRPr="00CC3A83" w:rsidRDefault="00CC3A83" w:rsidP="24302DAE">
      <w:pPr>
        <w:spacing w:after="0"/>
        <w:jc w:val="both"/>
        <w:rPr>
          <w:rFonts w:ascii="Verdana" w:hAnsi="Verdana"/>
          <w:sz w:val="20"/>
          <w:szCs w:val="20"/>
        </w:rPr>
      </w:pPr>
      <w:r w:rsidRPr="24302DAE">
        <w:rPr>
          <w:rFonts w:ascii="Verdana" w:hAnsi="Verdana"/>
          <w:sz w:val="20"/>
          <w:szCs w:val="20"/>
        </w:rPr>
        <w:t>En el evento en que los establecimientos de crédito al liquidar su encaje presenten defectos, deberán contabilizar una provisión por el valor equivalente al monto del total de la sanción, previa la liquidación privada, en los términos señalados en el código 2813 del Catálogo Único de Información Financiera con Fines de Supervisión</w:t>
      </w:r>
      <w:r w:rsidR="00285755">
        <w:rPr>
          <w:rFonts w:ascii="Verdana" w:hAnsi="Verdana"/>
          <w:sz w:val="20"/>
          <w:szCs w:val="20"/>
        </w:rPr>
        <w:t xml:space="preserve"> (CUIF)</w:t>
      </w:r>
      <w:r w:rsidRPr="24302DAE">
        <w:rPr>
          <w:rFonts w:ascii="Verdana" w:hAnsi="Verdana"/>
          <w:sz w:val="20"/>
          <w:szCs w:val="20"/>
        </w:rPr>
        <w:t>. Igual procedimiento deberá seguirse en relación con los intereses.</w:t>
      </w:r>
    </w:p>
    <w:p w14:paraId="01EEBC06" w14:textId="77777777" w:rsidR="00CC3A83" w:rsidRPr="00CC3A83" w:rsidRDefault="00CC3A83" w:rsidP="00CC3A83">
      <w:pPr>
        <w:spacing w:after="0"/>
        <w:jc w:val="both"/>
        <w:rPr>
          <w:rFonts w:ascii="Verdana" w:hAnsi="Verdana"/>
          <w:sz w:val="20"/>
          <w:szCs w:val="20"/>
        </w:rPr>
      </w:pPr>
    </w:p>
    <w:p w14:paraId="1B45FFE7" w14:textId="77777777" w:rsidR="00544A86" w:rsidRPr="00CC3A83" w:rsidRDefault="00544A86" w:rsidP="00CC3A83">
      <w:pPr>
        <w:spacing w:after="0"/>
        <w:jc w:val="both"/>
        <w:rPr>
          <w:rFonts w:ascii="Verdana" w:hAnsi="Verdana"/>
          <w:sz w:val="20"/>
          <w:szCs w:val="20"/>
        </w:rPr>
      </w:pPr>
    </w:p>
    <w:p w14:paraId="07FAC736" w14:textId="77777777" w:rsidR="007A4231" w:rsidRDefault="007A4231" w:rsidP="0055785C">
      <w:pPr>
        <w:spacing w:after="0"/>
        <w:rPr>
          <w:rFonts w:ascii="Verdana" w:hAnsi="Verdana"/>
          <w:sz w:val="20"/>
          <w:szCs w:val="20"/>
        </w:rPr>
      </w:pPr>
    </w:p>
    <w:sectPr w:rsidR="007A4231"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9E52A" w14:textId="77777777" w:rsidR="00441CD7" w:rsidRDefault="00441CD7" w:rsidP="00057BF6">
      <w:pPr>
        <w:spacing w:after="0" w:line="240" w:lineRule="auto"/>
      </w:pPr>
      <w:r>
        <w:separator/>
      </w:r>
    </w:p>
  </w:endnote>
  <w:endnote w:type="continuationSeparator" w:id="0">
    <w:p w14:paraId="7F244E3C" w14:textId="77777777" w:rsidR="00441CD7" w:rsidRDefault="00441CD7"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1AB97" w14:textId="77777777" w:rsidR="00441CD7" w:rsidRDefault="00441CD7" w:rsidP="00057BF6">
      <w:pPr>
        <w:spacing w:after="0" w:line="240" w:lineRule="auto"/>
      </w:pPr>
      <w:r>
        <w:separator/>
      </w:r>
    </w:p>
  </w:footnote>
  <w:footnote w:type="continuationSeparator" w:id="0">
    <w:p w14:paraId="055041F4" w14:textId="77777777" w:rsidR="00441CD7" w:rsidRDefault="00441CD7"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0"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18"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25"/>
  </w:num>
  <w:num w:numId="2" w16cid:durableId="1880435568">
    <w:abstractNumId w:val="37"/>
  </w:num>
  <w:num w:numId="3" w16cid:durableId="1362513633">
    <w:abstractNumId w:val="0"/>
  </w:num>
  <w:num w:numId="4" w16cid:durableId="865407780">
    <w:abstractNumId w:val="13"/>
  </w:num>
  <w:num w:numId="5" w16cid:durableId="2142072933">
    <w:abstractNumId w:val="11"/>
  </w:num>
  <w:num w:numId="6" w16cid:durableId="1895698361">
    <w:abstractNumId w:val="32"/>
  </w:num>
  <w:num w:numId="7" w16cid:durableId="2113162086">
    <w:abstractNumId w:val="2"/>
  </w:num>
  <w:num w:numId="8" w16cid:durableId="153033862">
    <w:abstractNumId w:val="12"/>
  </w:num>
  <w:num w:numId="9" w16cid:durableId="1967345544">
    <w:abstractNumId w:val="6"/>
  </w:num>
  <w:num w:numId="10" w16cid:durableId="981033342">
    <w:abstractNumId w:val="39"/>
  </w:num>
  <w:num w:numId="11" w16cid:durableId="1402868393">
    <w:abstractNumId w:val="9"/>
  </w:num>
  <w:num w:numId="12" w16cid:durableId="1006246652">
    <w:abstractNumId w:val="28"/>
  </w:num>
  <w:num w:numId="13" w16cid:durableId="978728261">
    <w:abstractNumId w:val="20"/>
  </w:num>
  <w:num w:numId="14" w16cid:durableId="78528817">
    <w:abstractNumId w:val="24"/>
  </w:num>
  <w:num w:numId="15" w16cid:durableId="1400783133">
    <w:abstractNumId w:val="34"/>
  </w:num>
  <w:num w:numId="16" w16cid:durableId="1938364807">
    <w:abstractNumId w:val="17"/>
  </w:num>
  <w:num w:numId="17" w16cid:durableId="1205092842">
    <w:abstractNumId w:val="27"/>
  </w:num>
  <w:num w:numId="18" w16cid:durableId="767624783">
    <w:abstractNumId w:val="36"/>
  </w:num>
  <w:num w:numId="19" w16cid:durableId="1220632725">
    <w:abstractNumId w:val="35"/>
  </w:num>
  <w:num w:numId="20" w16cid:durableId="2122873339">
    <w:abstractNumId w:val="21"/>
  </w:num>
  <w:num w:numId="21" w16cid:durableId="291398624">
    <w:abstractNumId w:val="1"/>
  </w:num>
  <w:num w:numId="22" w16cid:durableId="1656568277">
    <w:abstractNumId w:val="23"/>
  </w:num>
  <w:num w:numId="23" w16cid:durableId="693846277">
    <w:abstractNumId w:val="38"/>
  </w:num>
  <w:num w:numId="24" w16cid:durableId="626394639">
    <w:abstractNumId w:val="33"/>
  </w:num>
  <w:num w:numId="25" w16cid:durableId="1283152959">
    <w:abstractNumId w:val="15"/>
  </w:num>
  <w:num w:numId="26" w16cid:durableId="1833835843">
    <w:abstractNumId w:val="10"/>
  </w:num>
  <w:num w:numId="27" w16cid:durableId="1448355760">
    <w:abstractNumId w:val="22"/>
  </w:num>
  <w:num w:numId="28" w16cid:durableId="1302419666">
    <w:abstractNumId w:val="14"/>
  </w:num>
  <w:num w:numId="29" w16cid:durableId="996416780">
    <w:abstractNumId w:val="19"/>
  </w:num>
  <w:num w:numId="30" w16cid:durableId="679966915">
    <w:abstractNumId w:val="26"/>
  </w:num>
  <w:num w:numId="31" w16cid:durableId="388916171">
    <w:abstractNumId w:val="31"/>
  </w:num>
  <w:num w:numId="32" w16cid:durableId="1085344735">
    <w:abstractNumId w:val="8"/>
  </w:num>
  <w:num w:numId="33" w16cid:durableId="178398284">
    <w:abstractNumId w:val="29"/>
  </w:num>
  <w:num w:numId="34" w16cid:durableId="1256087641">
    <w:abstractNumId w:val="4"/>
  </w:num>
  <w:num w:numId="35" w16cid:durableId="432360488">
    <w:abstractNumId w:val="5"/>
  </w:num>
  <w:num w:numId="36" w16cid:durableId="184101424">
    <w:abstractNumId w:val="30"/>
  </w:num>
  <w:num w:numId="37" w16cid:durableId="1636792291">
    <w:abstractNumId w:val="7"/>
  </w:num>
  <w:num w:numId="38" w16cid:durableId="1738629813">
    <w:abstractNumId w:val="3"/>
  </w:num>
  <w:num w:numId="39" w16cid:durableId="1292438572">
    <w:abstractNumId w:val="18"/>
  </w:num>
  <w:num w:numId="40" w16cid:durableId="5389749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40DA5"/>
    <w:rsid w:val="000442C3"/>
    <w:rsid w:val="00057BF6"/>
    <w:rsid w:val="0006736C"/>
    <w:rsid w:val="00082DDF"/>
    <w:rsid w:val="000B2CD8"/>
    <w:rsid w:val="00145683"/>
    <w:rsid w:val="001747F1"/>
    <w:rsid w:val="001B5187"/>
    <w:rsid w:val="0021666A"/>
    <w:rsid w:val="002252BF"/>
    <w:rsid w:val="00236EFB"/>
    <w:rsid w:val="00262763"/>
    <w:rsid w:val="00285755"/>
    <w:rsid w:val="002B4F4A"/>
    <w:rsid w:val="002F5CF4"/>
    <w:rsid w:val="0036407F"/>
    <w:rsid w:val="003A5CFE"/>
    <w:rsid w:val="003C558F"/>
    <w:rsid w:val="003E240C"/>
    <w:rsid w:val="0040498E"/>
    <w:rsid w:val="00405030"/>
    <w:rsid w:val="00406D2B"/>
    <w:rsid w:val="0043223D"/>
    <w:rsid w:val="004362B9"/>
    <w:rsid w:val="00441CD7"/>
    <w:rsid w:val="00445D5C"/>
    <w:rsid w:val="00470929"/>
    <w:rsid w:val="004F2EED"/>
    <w:rsid w:val="005007D3"/>
    <w:rsid w:val="00522DAA"/>
    <w:rsid w:val="005272FF"/>
    <w:rsid w:val="00544A86"/>
    <w:rsid w:val="0055785C"/>
    <w:rsid w:val="00596B88"/>
    <w:rsid w:val="005A2DF6"/>
    <w:rsid w:val="00602800"/>
    <w:rsid w:val="0060728B"/>
    <w:rsid w:val="0061423F"/>
    <w:rsid w:val="00695553"/>
    <w:rsid w:val="00721D02"/>
    <w:rsid w:val="007A302E"/>
    <w:rsid w:val="007A4231"/>
    <w:rsid w:val="0082329A"/>
    <w:rsid w:val="008B279B"/>
    <w:rsid w:val="008F752E"/>
    <w:rsid w:val="00956EC8"/>
    <w:rsid w:val="009571FD"/>
    <w:rsid w:val="009A2823"/>
    <w:rsid w:val="009B6D85"/>
    <w:rsid w:val="009D6127"/>
    <w:rsid w:val="00A24C05"/>
    <w:rsid w:val="00A41E5E"/>
    <w:rsid w:val="00A9232C"/>
    <w:rsid w:val="00AE0316"/>
    <w:rsid w:val="00B1709F"/>
    <w:rsid w:val="00C61A56"/>
    <w:rsid w:val="00CC3647"/>
    <w:rsid w:val="00CC3A83"/>
    <w:rsid w:val="00CC6142"/>
    <w:rsid w:val="00CC7599"/>
    <w:rsid w:val="00D42A9B"/>
    <w:rsid w:val="00D867E7"/>
    <w:rsid w:val="00D9265A"/>
    <w:rsid w:val="00DA0C0E"/>
    <w:rsid w:val="00DB3370"/>
    <w:rsid w:val="00E03CCC"/>
    <w:rsid w:val="00E36D12"/>
    <w:rsid w:val="00E46FAB"/>
    <w:rsid w:val="00F67F4C"/>
    <w:rsid w:val="1948123F"/>
    <w:rsid w:val="24302D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AA0F7-264C-4A6B-A784-FDD5DBC061A2}"/>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320</Words>
  <Characters>1655</Characters>
  <Application>Microsoft Office Word</Application>
  <DocSecurity>0</DocSecurity>
  <Lines>46</Lines>
  <Paragraphs>17</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de Colombia</cp:lastModifiedBy>
  <cp:revision>29</cp:revision>
  <dcterms:created xsi:type="dcterms:W3CDTF">2024-12-23T19:13:00Z</dcterms:created>
  <dcterms:modified xsi:type="dcterms:W3CDTF">2026-01-07T20:39:00Z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83100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1" name="docLang">
    <vt:lpwstr>es</vt:lpwstr>
  </property>
</Properties>
</file>